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72DCF">
      <w:pPr>
        <w:jc w:val="center"/>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eastAsia="zh-CN"/>
        </w:rPr>
        <w:t>辽宁省退役军人事务厅涉企行政检查事项清单</w:t>
      </w:r>
    </w:p>
    <w:p w14:paraId="4CF0B70D">
      <w:pPr>
        <w:jc w:val="center"/>
        <w:rPr>
          <w:rFonts w:hint="eastAsia"/>
          <w:sz w:val="44"/>
          <w:szCs w:val="44"/>
          <w:lang w:eastAsia="zh-CN"/>
        </w:rPr>
      </w:pPr>
    </w:p>
    <w:p w14:paraId="443677B3">
      <w:pPr>
        <w:rPr>
          <w:rFonts w:hint="eastAsia"/>
          <w:lang w:eastAsia="zh-CN"/>
        </w:rPr>
      </w:pPr>
      <w:r>
        <w:rPr>
          <w:rFonts w:hint="eastAsia"/>
          <w:lang w:eastAsia="zh-CN"/>
        </w:rPr>
        <w:t>填报单位：（公章）辽宁省退役军人事务厅</w:t>
      </w:r>
    </w:p>
    <w:tbl>
      <w:tblPr>
        <w:tblStyle w:val="5"/>
        <w:tblW w:w="14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400"/>
        <w:gridCol w:w="1112"/>
        <w:gridCol w:w="2813"/>
        <w:gridCol w:w="3750"/>
        <w:gridCol w:w="895"/>
        <w:gridCol w:w="750"/>
        <w:gridCol w:w="667"/>
        <w:gridCol w:w="1113"/>
        <w:gridCol w:w="725"/>
        <w:gridCol w:w="2450"/>
      </w:tblGrid>
      <w:tr w14:paraId="3501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00" w:type="dxa"/>
            <w:vMerge w:val="restart"/>
            <w:noWrap w:val="0"/>
            <w:vAlign w:val="center"/>
          </w:tcPr>
          <w:p w14:paraId="051295CF">
            <w:pPr>
              <w:jc w:val="center"/>
              <w:rPr>
                <w:rFonts w:hint="eastAsia" w:ascii="黑体" w:hAnsi="黑体" w:eastAsia="黑体" w:cs="黑体"/>
                <w:vertAlign w:val="baseline"/>
                <w:lang w:eastAsia="zh-CN"/>
              </w:rPr>
            </w:pPr>
            <w:r>
              <w:rPr>
                <w:rFonts w:hint="eastAsia" w:ascii="黑体" w:hAnsi="黑体" w:eastAsia="黑体" w:cs="黑体"/>
                <w:vertAlign w:val="baseline"/>
                <w:lang w:eastAsia="zh-CN"/>
              </w:rPr>
              <w:t>序号</w:t>
            </w:r>
          </w:p>
        </w:tc>
        <w:tc>
          <w:tcPr>
            <w:tcW w:w="1112" w:type="dxa"/>
            <w:vMerge w:val="restart"/>
            <w:noWrap w:val="0"/>
            <w:vAlign w:val="center"/>
          </w:tcPr>
          <w:p w14:paraId="67CBFE00">
            <w:pPr>
              <w:jc w:val="center"/>
              <w:rPr>
                <w:rFonts w:hint="eastAsia" w:ascii="黑体" w:hAnsi="黑体" w:eastAsia="黑体" w:cs="黑体"/>
                <w:vertAlign w:val="baseline"/>
                <w:lang w:eastAsia="zh-CN"/>
              </w:rPr>
            </w:pPr>
            <w:r>
              <w:rPr>
                <w:rFonts w:hint="eastAsia" w:ascii="黑体" w:hAnsi="黑体" w:eastAsia="黑体" w:cs="黑体"/>
                <w:vertAlign w:val="baseline"/>
                <w:lang w:eastAsia="zh-CN"/>
              </w:rPr>
              <w:t>检查</w:t>
            </w:r>
          </w:p>
          <w:p w14:paraId="34EE48D3">
            <w:pPr>
              <w:jc w:val="center"/>
              <w:rPr>
                <w:rFonts w:hint="eastAsia" w:ascii="黑体" w:hAnsi="黑体" w:eastAsia="黑体" w:cs="黑体"/>
                <w:vertAlign w:val="baseline"/>
                <w:lang w:eastAsia="zh-CN"/>
              </w:rPr>
            </w:pPr>
            <w:r>
              <w:rPr>
                <w:rFonts w:hint="eastAsia" w:ascii="黑体" w:hAnsi="黑体" w:eastAsia="黑体" w:cs="黑体"/>
                <w:vertAlign w:val="baseline"/>
                <w:lang w:eastAsia="zh-CN"/>
              </w:rPr>
              <w:t>事项</w:t>
            </w:r>
          </w:p>
        </w:tc>
        <w:tc>
          <w:tcPr>
            <w:tcW w:w="8875" w:type="dxa"/>
            <w:gridSpan w:val="5"/>
            <w:noWrap w:val="0"/>
            <w:vAlign w:val="top"/>
          </w:tcPr>
          <w:p w14:paraId="7D3D24C6">
            <w:pPr>
              <w:jc w:val="center"/>
              <w:rPr>
                <w:rFonts w:hint="eastAsia" w:ascii="黑体" w:hAnsi="黑体" w:eastAsia="黑体" w:cs="黑体"/>
                <w:vertAlign w:val="baseline"/>
                <w:lang w:eastAsia="zh-CN"/>
              </w:rPr>
            </w:pPr>
            <w:r>
              <w:rPr>
                <w:rFonts w:hint="eastAsia" w:ascii="黑体" w:hAnsi="黑体" w:eastAsia="黑体" w:cs="黑体"/>
                <w:vertAlign w:val="baseline"/>
                <w:lang w:eastAsia="zh-CN"/>
              </w:rPr>
              <w:t>检查依据</w:t>
            </w:r>
          </w:p>
        </w:tc>
        <w:tc>
          <w:tcPr>
            <w:tcW w:w="1113" w:type="dxa"/>
            <w:vMerge w:val="restart"/>
            <w:noWrap w:val="0"/>
            <w:vAlign w:val="top"/>
          </w:tcPr>
          <w:p w14:paraId="6494363B">
            <w:pPr>
              <w:rPr>
                <w:rFonts w:hint="eastAsia" w:ascii="黑体" w:hAnsi="黑体" w:eastAsia="黑体" w:cs="黑体"/>
                <w:vertAlign w:val="baseline"/>
                <w:lang w:eastAsia="zh-CN"/>
              </w:rPr>
            </w:pPr>
            <w:r>
              <w:rPr>
                <w:rFonts w:hint="eastAsia" w:ascii="黑体" w:hAnsi="黑体" w:eastAsia="黑体" w:cs="黑体"/>
                <w:vertAlign w:val="baseline"/>
                <w:lang w:eastAsia="zh-CN"/>
              </w:rPr>
              <w:t>检查主体（含实施层级）</w:t>
            </w:r>
          </w:p>
        </w:tc>
        <w:tc>
          <w:tcPr>
            <w:tcW w:w="725" w:type="dxa"/>
            <w:vMerge w:val="restart"/>
            <w:noWrap w:val="0"/>
            <w:vAlign w:val="center"/>
          </w:tcPr>
          <w:p w14:paraId="19864316">
            <w:pPr>
              <w:bidi w:val="0"/>
              <w:jc w:val="center"/>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检查方式</w:t>
            </w:r>
          </w:p>
        </w:tc>
        <w:tc>
          <w:tcPr>
            <w:tcW w:w="2450" w:type="dxa"/>
            <w:vMerge w:val="restart"/>
            <w:noWrap w:val="0"/>
            <w:vAlign w:val="center"/>
          </w:tcPr>
          <w:p w14:paraId="3C70A392">
            <w:pPr>
              <w:jc w:val="center"/>
              <w:rPr>
                <w:rFonts w:hint="eastAsia" w:ascii="黑体" w:hAnsi="黑体" w:eastAsia="黑体" w:cs="黑体"/>
                <w:vertAlign w:val="baseline"/>
                <w:lang w:eastAsia="zh-CN"/>
              </w:rPr>
            </w:pPr>
            <w:r>
              <w:rPr>
                <w:rFonts w:hint="eastAsia" w:ascii="黑体" w:hAnsi="黑体" w:eastAsia="黑体" w:cs="黑体"/>
                <w:vertAlign w:val="baseline"/>
                <w:lang w:eastAsia="zh-CN"/>
              </w:rPr>
              <w:t>备注</w:t>
            </w:r>
          </w:p>
        </w:tc>
      </w:tr>
      <w:tr w14:paraId="252B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00" w:type="dxa"/>
            <w:vMerge w:val="continue"/>
            <w:noWrap w:val="0"/>
            <w:vAlign w:val="top"/>
          </w:tcPr>
          <w:p w14:paraId="3440A6D8">
            <w:pPr>
              <w:rPr>
                <w:rFonts w:hint="eastAsia"/>
                <w:vertAlign w:val="baseline"/>
                <w:lang w:eastAsia="zh-CN"/>
              </w:rPr>
            </w:pPr>
          </w:p>
        </w:tc>
        <w:tc>
          <w:tcPr>
            <w:tcW w:w="1112" w:type="dxa"/>
            <w:vMerge w:val="continue"/>
            <w:noWrap w:val="0"/>
            <w:vAlign w:val="top"/>
          </w:tcPr>
          <w:p w14:paraId="741BA701">
            <w:pPr>
              <w:rPr>
                <w:rFonts w:hint="eastAsia"/>
                <w:vertAlign w:val="baseline"/>
                <w:lang w:eastAsia="zh-CN"/>
              </w:rPr>
            </w:pPr>
          </w:p>
        </w:tc>
        <w:tc>
          <w:tcPr>
            <w:tcW w:w="2813" w:type="dxa"/>
            <w:noWrap w:val="0"/>
            <w:vAlign w:val="center"/>
          </w:tcPr>
          <w:p w14:paraId="409C0B98">
            <w:pPr>
              <w:jc w:val="center"/>
              <w:rPr>
                <w:rFonts w:hint="eastAsia" w:ascii="黑体" w:hAnsi="黑体" w:eastAsia="黑体" w:cs="黑体"/>
                <w:vertAlign w:val="baseline"/>
                <w:lang w:eastAsia="zh-CN"/>
              </w:rPr>
            </w:pPr>
            <w:r>
              <w:rPr>
                <w:rFonts w:hint="eastAsia" w:ascii="黑体" w:hAnsi="黑体" w:eastAsia="黑体" w:cs="黑体"/>
                <w:vertAlign w:val="baseline"/>
                <w:lang w:eastAsia="zh-CN"/>
              </w:rPr>
              <w:t>法律</w:t>
            </w:r>
          </w:p>
        </w:tc>
        <w:tc>
          <w:tcPr>
            <w:tcW w:w="3750" w:type="dxa"/>
            <w:noWrap w:val="0"/>
            <w:vAlign w:val="center"/>
          </w:tcPr>
          <w:p w14:paraId="5911064B">
            <w:pPr>
              <w:jc w:val="center"/>
              <w:rPr>
                <w:rFonts w:hint="eastAsia" w:ascii="黑体" w:hAnsi="黑体" w:eastAsia="黑体" w:cs="黑体"/>
                <w:vertAlign w:val="baseline"/>
                <w:lang w:eastAsia="zh-CN"/>
              </w:rPr>
            </w:pPr>
            <w:r>
              <w:rPr>
                <w:rFonts w:hint="eastAsia" w:ascii="黑体" w:hAnsi="黑体" w:eastAsia="黑体" w:cs="黑体"/>
                <w:vertAlign w:val="baseline"/>
                <w:lang w:eastAsia="zh-CN"/>
              </w:rPr>
              <w:t>行政法规</w:t>
            </w:r>
          </w:p>
        </w:tc>
        <w:tc>
          <w:tcPr>
            <w:tcW w:w="895" w:type="dxa"/>
            <w:noWrap w:val="0"/>
            <w:vAlign w:val="top"/>
          </w:tcPr>
          <w:p w14:paraId="2E090C98">
            <w:pPr>
              <w:rPr>
                <w:rFonts w:hint="eastAsia" w:ascii="黑体" w:hAnsi="黑体" w:eastAsia="黑体" w:cs="黑体"/>
                <w:vertAlign w:val="baseline"/>
                <w:lang w:eastAsia="zh-CN"/>
              </w:rPr>
            </w:pPr>
            <w:r>
              <w:rPr>
                <w:rFonts w:hint="eastAsia" w:ascii="黑体" w:hAnsi="黑体" w:eastAsia="黑体" w:cs="黑体"/>
                <w:vertAlign w:val="baseline"/>
                <w:lang w:eastAsia="zh-CN"/>
              </w:rPr>
              <w:t>地方性法规</w:t>
            </w:r>
          </w:p>
        </w:tc>
        <w:tc>
          <w:tcPr>
            <w:tcW w:w="750" w:type="dxa"/>
            <w:noWrap w:val="0"/>
            <w:vAlign w:val="top"/>
          </w:tcPr>
          <w:p w14:paraId="52F8B47A">
            <w:pPr>
              <w:rPr>
                <w:rFonts w:hint="eastAsia" w:ascii="黑体" w:hAnsi="黑体" w:eastAsia="黑体" w:cs="黑体"/>
                <w:vertAlign w:val="baseline"/>
                <w:lang w:eastAsia="zh-CN"/>
              </w:rPr>
            </w:pPr>
            <w:r>
              <w:rPr>
                <w:rFonts w:hint="eastAsia" w:ascii="黑体" w:hAnsi="黑体" w:eastAsia="黑体" w:cs="黑体"/>
                <w:vertAlign w:val="baseline"/>
                <w:lang w:eastAsia="zh-CN"/>
              </w:rPr>
              <w:t>部委规章</w:t>
            </w:r>
          </w:p>
        </w:tc>
        <w:tc>
          <w:tcPr>
            <w:tcW w:w="667" w:type="dxa"/>
            <w:noWrap w:val="0"/>
            <w:vAlign w:val="top"/>
          </w:tcPr>
          <w:p w14:paraId="2F1AD487">
            <w:pPr>
              <w:rPr>
                <w:rFonts w:hint="eastAsia" w:ascii="黑体" w:hAnsi="黑体" w:eastAsia="黑体" w:cs="黑体"/>
                <w:vertAlign w:val="baseline"/>
                <w:lang w:eastAsia="zh-CN"/>
              </w:rPr>
            </w:pPr>
            <w:r>
              <w:rPr>
                <w:rFonts w:hint="eastAsia" w:ascii="黑体" w:hAnsi="黑体" w:eastAsia="黑体" w:cs="黑体"/>
                <w:vertAlign w:val="baseline"/>
                <w:lang w:eastAsia="zh-CN"/>
              </w:rPr>
              <w:t>政府规章</w:t>
            </w:r>
          </w:p>
        </w:tc>
        <w:tc>
          <w:tcPr>
            <w:tcW w:w="1113" w:type="dxa"/>
            <w:vMerge w:val="continue"/>
            <w:noWrap w:val="0"/>
            <w:vAlign w:val="top"/>
          </w:tcPr>
          <w:p w14:paraId="488F5641">
            <w:pPr>
              <w:rPr>
                <w:rFonts w:hint="eastAsia"/>
                <w:vertAlign w:val="baseline"/>
                <w:lang w:eastAsia="zh-CN"/>
              </w:rPr>
            </w:pPr>
          </w:p>
        </w:tc>
        <w:tc>
          <w:tcPr>
            <w:tcW w:w="725" w:type="dxa"/>
            <w:vMerge w:val="continue"/>
            <w:noWrap w:val="0"/>
            <w:vAlign w:val="top"/>
          </w:tcPr>
          <w:p w14:paraId="7B1AFD8A">
            <w:pPr>
              <w:rPr>
                <w:rFonts w:hint="eastAsia"/>
                <w:vertAlign w:val="baseline"/>
                <w:lang w:eastAsia="zh-CN"/>
              </w:rPr>
            </w:pPr>
          </w:p>
        </w:tc>
        <w:tc>
          <w:tcPr>
            <w:tcW w:w="2450" w:type="dxa"/>
            <w:vMerge w:val="continue"/>
            <w:noWrap w:val="0"/>
            <w:vAlign w:val="top"/>
          </w:tcPr>
          <w:p w14:paraId="5AB34F35">
            <w:pPr>
              <w:rPr>
                <w:rFonts w:hint="eastAsia"/>
                <w:vertAlign w:val="baseline"/>
                <w:lang w:eastAsia="zh-CN"/>
              </w:rPr>
            </w:pPr>
          </w:p>
        </w:tc>
      </w:tr>
      <w:tr w14:paraId="68CE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134" w:hRule="atLeast"/>
        </w:trPr>
        <w:tc>
          <w:tcPr>
            <w:tcW w:w="400" w:type="dxa"/>
            <w:noWrap w:val="0"/>
            <w:vAlign w:val="center"/>
          </w:tcPr>
          <w:p w14:paraId="7FAD144B">
            <w:pPr>
              <w:jc w:val="center"/>
              <w:rPr>
                <w:rFonts w:hint="default"/>
                <w:vertAlign w:val="baseline"/>
                <w:lang w:val="en-US" w:eastAsia="zh-CN"/>
              </w:rPr>
            </w:pPr>
            <w:r>
              <w:rPr>
                <w:rFonts w:hint="eastAsia"/>
                <w:vertAlign w:val="baseline"/>
                <w:lang w:val="en-US" w:eastAsia="zh-CN"/>
              </w:rPr>
              <w:t>1</w:t>
            </w:r>
          </w:p>
        </w:tc>
        <w:tc>
          <w:tcPr>
            <w:tcW w:w="1112" w:type="dxa"/>
            <w:noWrap w:val="0"/>
            <w:vAlign w:val="center"/>
          </w:tcPr>
          <w:p w14:paraId="0B527B99">
            <w:pPr>
              <w:jc w:val="center"/>
              <w:rPr>
                <w:rFonts w:hint="eastAsia"/>
                <w:vertAlign w:val="baseline"/>
                <w:lang w:eastAsia="zh-CN"/>
              </w:rPr>
            </w:pPr>
            <w:r>
              <w:rPr>
                <w:rFonts w:hint="eastAsia"/>
                <w:vertAlign w:val="baseline"/>
                <w:lang w:eastAsia="zh-CN"/>
              </w:rPr>
              <w:t>对接收安置退役军人企业的行政检查</w:t>
            </w:r>
          </w:p>
        </w:tc>
        <w:tc>
          <w:tcPr>
            <w:tcW w:w="2813" w:type="dxa"/>
            <w:noWrap w:val="0"/>
            <w:vAlign w:val="top"/>
          </w:tcPr>
          <w:p w14:paraId="45170709">
            <w:pPr>
              <w:rPr>
                <w:rFonts w:hint="eastAsia"/>
                <w:vertAlign w:val="baseline"/>
                <w:lang w:eastAsia="zh-CN"/>
              </w:rPr>
            </w:pPr>
            <w:r>
              <w:rPr>
                <w:rFonts w:hint="eastAsia" w:ascii="仿宋_GB2312" w:hAnsi="仿宋_GB2312" w:eastAsia="仿宋_GB2312" w:cs="仿宋_GB2312"/>
                <w:vertAlign w:val="baseline"/>
                <w:lang w:eastAsia="zh-CN"/>
              </w:rPr>
              <w:t>【法律】《中华人民共和国退役军人保障法》（</w:t>
            </w:r>
            <w:r>
              <w:rPr>
                <w:rFonts w:hint="eastAsia" w:ascii="仿宋_GB2312" w:hAnsi="仿宋_GB2312" w:eastAsia="仿宋_GB2312" w:cs="仿宋_GB2312"/>
                <w:vertAlign w:val="baseline"/>
                <w:lang w:val="en-US" w:eastAsia="zh-CN"/>
              </w:rPr>
              <w:t>2021年1月1日施行</w:t>
            </w:r>
            <w:r>
              <w:rPr>
                <w:rFonts w:hint="eastAsia" w:ascii="仿宋_GB2312" w:hAnsi="仿宋_GB2312" w:eastAsia="仿宋_GB2312" w:cs="仿宋_GB2312"/>
                <w:vertAlign w:val="baseline"/>
                <w:lang w:eastAsia="zh-CN"/>
              </w:rPr>
              <w:t>）第七十一条设立监督检查退役军人保障相关法律法规和政策措施落实情况行政检查</w:t>
            </w:r>
          </w:p>
        </w:tc>
        <w:tc>
          <w:tcPr>
            <w:tcW w:w="3750" w:type="dxa"/>
            <w:noWrap w:val="0"/>
            <w:vAlign w:val="top"/>
          </w:tcPr>
          <w:p w14:paraId="75680CFF">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【行政法规】《退役军人安置条例》（</w:t>
            </w:r>
            <w:r>
              <w:rPr>
                <w:rFonts w:hint="eastAsia" w:ascii="仿宋_GB2312" w:hAnsi="仿宋_GB2312" w:eastAsia="仿宋_GB2312" w:cs="仿宋_GB2312"/>
                <w:vertAlign w:val="baseline"/>
                <w:lang w:val="en-US" w:eastAsia="zh-CN"/>
              </w:rPr>
              <w:t>2024年9月1日施行</w:t>
            </w:r>
            <w:r>
              <w:rPr>
                <w:rFonts w:hint="eastAsia" w:ascii="仿宋_GB2312" w:hAnsi="仿宋_GB2312" w:eastAsia="仿宋_GB2312" w:cs="仿宋_GB2312"/>
                <w:vertAlign w:val="baseline"/>
                <w:lang w:eastAsia="zh-CN"/>
              </w:rPr>
              <w:t>）第九条</w:t>
            </w:r>
            <w:r>
              <w:rPr>
                <w:rFonts w:hint="eastAsia" w:ascii="仿宋_GB2312" w:hAnsi="仿宋_GB2312" w:eastAsia="仿宋_GB2312" w:cs="仿宋_GB2312"/>
                <w:vertAlign w:val="baseline"/>
                <w:lang w:val="en-US" w:eastAsia="zh-CN"/>
              </w:rPr>
              <w:t xml:space="preserve"> 机关、群团组织</w:t>
            </w:r>
            <w:r>
              <w:rPr>
                <w:rFonts w:hint="eastAsia" w:ascii="仿宋_GB2312" w:hAnsi="仿宋_GB2312" w:eastAsia="仿宋_GB2312" w:cs="仿宋_GB2312"/>
                <w:vertAlign w:val="baseline"/>
                <w:lang w:eastAsia="zh-CN"/>
              </w:rPr>
              <w:t>、企业事业单位和社会组织应当依法接收安置退役军人，退役军人应当接受安置。</w:t>
            </w:r>
          </w:p>
          <w:p w14:paraId="72C68CE2">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eastAsia="zh-CN"/>
              </w:rPr>
              <w:t>第八十八条</w:t>
            </w:r>
            <w:r>
              <w:rPr>
                <w:rFonts w:hint="eastAsia" w:ascii="仿宋_GB2312" w:hAnsi="仿宋_GB2312" w:eastAsia="仿宋_GB2312" w:cs="仿宋_GB2312"/>
                <w:vertAlign w:val="baseline"/>
                <w:lang w:val="en-US" w:eastAsia="zh-CN"/>
              </w:rPr>
              <w:t xml:space="preserve"> 接收安置退役军人的单位及其工作人员有下列行为之一的，由当地人民政府退役军人工作主管部门责令限期改正；逾期不改正的，予以通报批评，并对负有责任的领导人员和直接责任人员依法给予处分；（一）拒绝或者无故拖延执行退役军人安置计划的；（二）在国家政策之外另设接收条件、提高安置门槛的；（三）将接收安置退役军人编制截留、挪用的；（四）未按照规定落实退役军人安置待遇的；（五）未依法与退役军人签订聘用合同或者劳动合同的；（六）违法与残疾退役军人解除聘用合同或者劳动合同的；（七）有其他违反退役军人安置法律法规行为的；</w:t>
            </w:r>
          </w:p>
          <w:p w14:paraId="4B0BF3CB">
            <w:pP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对干扰退役军人安置工作、损害退役军人合法权益的其他单位和个人，依法追究责任。</w:t>
            </w:r>
          </w:p>
        </w:tc>
        <w:tc>
          <w:tcPr>
            <w:tcW w:w="895" w:type="dxa"/>
            <w:noWrap w:val="0"/>
            <w:vAlign w:val="top"/>
          </w:tcPr>
          <w:p w14:paraId="548C0DA1">
            <w:pPr>
              <w:rPr>
                <w:rFonts w:hint="eastAsia"/>
                <w:vertAlign w:val="baseline"/>
                <w:lang w:eastAsia="zh-CN"/>
              </w:rPr>
            </w:pPr>
          </w:p>
        </w:tc>
        <w:tc>
          <w:tcPr>
            <w:tcW w:w="750" w:type="dxa"/>
            <w:noWrap w:val="0"/>
            <w:vAlign w:val="top"/>
          </w:tcPr>
          <w:p w14:paraId="4D444839">
            <w:pPr>
              <w:rPr>
                <w:rFonts w:hint="eastAsia"/>
                <w:vertAlign w:val="baseline"/>
                <w:lang w:eastAsia="zh-CN"/>
              </w:rPr>
            </w:pPr>
          </w:p>
        </w:tc>
        <w:tc>
          <w:tcPr>
            <w:tcW w:w="667" w:type="dxa"/>
            <w:noWrap w:val="0"/>
            <w:vAlign w:val="top"/>
          </w:tcPr>
          <w:p w14:paraId="6E13A907">
            <w:pPr>
              <w:rPr>
                <w:rFonts w:hint="eastAsia"/>
                <w:vertAlign w:val="baseline"/>
                <w:lang w:eastAsia="zh-CN"/>
              </w:rPr>
            </w:pPr>
          </w:p>
        </w:tc>
        <w:tc>
          <w:tcPr>
            <w:tcW w:w="1113" w:type="dxa"/>
            <w:noWrap w:val="0"/>
            <w:vAlign w:val="center"/>
          </w:tcPr>
          <w:p w14:paraId="188525F2">
            <w:pPr>
              <w:jc w:val="left"/>
              <w:rPr>
                <w:rFonts w:hint="eastAsia"/>
                <w:vertAlign w:val="baseline"/>
                <w:lang w:eastAsia="zh-CN"/>
              </w:rPr>
            </w:pPr>
            <w:r>
              <w:rPr>
                <w:rFonts w:hint="eastAsia"/>
                <w:vertAlign w:val="baseline"/>
                <w:lang w:eastAsia="zh-CN"/>
              </w:rPr>
              <w:t>省退役军人事务厅、市退役军人事务局、县级退役军人事务局</w:t>
            </w:r>
          </w:p>
        </w:tc>
        <w:tc>
          <w:tcPr>
            <w:tcW w:w="725" w:type="dxa"/>
            <w:noWrap w:val="0"/>
            <w:vAlign w:val="top"/>
          </w:tcPr>
          <w:p w14:paraId="085595F4">
            <w:pPr>
              <w:rPr>
                <w:rFonts w:hint="eastAsia"/>
                <w:vertAlign w:val="baseline"/>
                <w:lang w:eastAsia="zh-CN"/>
              </w:rPr>
            </w:pPr>
            <w:r>
              <w:rPr>
                <w:rFonts w:hint="eastAsia"/>
                <w:vertAlign w:val="baseline"/>
                <w:lang w:eastAsia="zh-CN"/>
              </w:rPr>
              <w:t>现场检查与非现场检查相结合</w:t>
            </w:r>
          </w:p>
        </w:tc>
        <w:tc>
          <w:tcPr>
            <w:tcW w:w="2450" w:type="dxa"/>
            <w:noWrap w:val="0"/>
            <w:vAlign w:val="top"/>
          </w:tcPr>
          <w:p w14:paraId="62012C87">
            <w:pPr>
              <w:rPr>
                <w:rFonts w:hint="eastAsia"/>
                <w:vertAlign w:val="baseline"/>
                <w:lang w:eastAsia="zh-CN"/>
              </w:rPr>
            </w:pPr>
            <w:r>
              <w:rPr>
                <w:rFonts w:hint="eastAsia"/>
                <w:vertAlign w:val="baseline"/>
                <w:lang w:eastAsia="zh-CN"/>
              </w:rPr>
              <w:t>涉企行政检查以属地管理为原则，为市属国有企业的，由市级退役军人事务部门负责，为省属国有企业和中央在辽国有企业的，由省级退役军人部门负责</w:t>
            </w:r>
          </w:p>
        </w:tc>
      </w:tr>
      <w:tr w14:paraId="650F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700" w:hRule="atLeast"/>
        </w:trPr>
        <w:tc>
          <w:tcPr>
            <w:tcW w:w="400" w:type="dxa"/>
            <w:noWrap w:val="0"/>
            <w:vAlign w:val="center"/>
          </w:tcPr>
          <w:p w14:paraId="20DC2BC1">
            <w:pPr>
              <w:jc w:val="center"/>
              <w:rPr>
                <w:rFonts w:hint="default"/>
                <w:vertAlign w:val="baseline"/>
                <w:lang w:val="en-US" w:eastAsia="zh-CN"/>
              </w:rPr>
            </w:pPr>
            <w:r>
              <w:rPr>
                <w:rFonts w:hint="eastAsia"/>
                <w:vertAlign w:val="baseline"/>
                <w:lang w:val="en-US" w:eastAsia="zh-CN"/>
              </w:rPr>
              <w:t>2</w:t>
            </w:r>
          </w:p>
        </w:tc>
        <w:tc>
          <w:tcPr>
            <w:tcW w:w="1112" w:type="dxa"/>
            <w:noWrap w:val="0"/>
            <w:vAlign w:val="center"/>
          </w:tcPr>
          <w:p w14:paraId="3CC5D12B">
            <w:pPr>
              <w:jc w:val="center"/>
              <w:rPr>
                <w:rFonts w:hint="eastAsia"/>
                <w:vertAlign w:val="baseline"/>
                <w:lang w:eastAsia="zh-CN"/>
              </w:rPr>
            </w:pPr>
            <w:r>
              <w:rPr>
                <w:rFonts w:hint="eastAsia"/>
                <w:vertAlign w:val="baseline"/>
                <w:lang w:eastAsia="zh-CN"/>
              </w:rPr>
              <w:t>对军人军属优待政策落实情况的行政检查</w:t>
            </w:r>
          </w:p>
        </w:tc>
        <w:tc>
          <w:tcPr>
            <w:tcW w:w="2813" w:type="dxa"/>
            <w:noWrap w:val="0"/>
            <w:vAlign w:val="top"/>
          </w:tcPr>
          <w:p w14:paraId="702A52EB">
            <w:pPr>
              <w:rPr>
                <w:rFonts w:hint="eastAsia"/>
                <w:vertAlign w:val="baseline"/>
                <w:lang w:eastAsia="zh-CN"/>
              </w:rPr>
            </w:pPr>
            <w:r>
              <w:rPr>
                <w:rFonts w:hint="eastAsia" w:ascii="仿宋_GB2312" w:hAnsi="仿宋_GB2312" w:eastAsia="仿宋_GB2312" w:cs="仿宋_GB2312"/>
                <w:vertAlign w:val="baseline"/>
                <w:lang w:eastAsia="zh-CN"/>
              </w:rPr>
              <w:t>【法律】《中华人民共和国退役军人保障法》（</w:t>
            </w:r>
            <w:r>
              <w:rPr>
                <w:rFonts w:hint="eastAsia" w:ascii="仿宋_GB2312" w:hAnsi="仿宋_GB2312" w:eastAsia="仿宋_GB2312" w:cs="仿宋_GB2312"/>
                <w:vertAlign w:val="baseline"/>
                <w:lang w:val="en-US" w:eastAsia="zh-CN"/>
              </w:rPr>
              <w:t>2021年1月1日施行</w:t>
            </w:r>
            <w:r>
              <w:rPr>
                <w:rFonts w:hint="eastAsia" w:ascii="仿宋_GB2312" w:hAnsi="仿宋_GB2312" w:eastAsia="仿宋_GB2312" w:cs="仿宋_GB2312"/>
                <w:vertAlign w:val="baseline"/>
                <w:lang w:eastAsia="zh-CN"/>
              </w:rPr>
              <w:t>）第七十一条设立监督检查退役军人保障相关法律法规和政策措施落实情况行政检查</w:t>
            </w:r>
          </w:p>
        </w:tc>
        <w:tc>
          <w:tcPr>
            <w:tcW w:w="3750" w:type="dxa"/>
            <w:noWrap w:val="0"/>
            <w:vAlign w:val="top"/>
          </w:tcPr>
          <w:p w14:paraId="4C3ECBF3">
            <w:pPr>
              <w:rPr>
                <w:rFonts w:hint="default"/>
                <w:vertAlign w:val="baseline"/>
                <w:lang w:val="en-US" w:eastAsia="zh-CN"/>
              </w:rPr>
            </w:pPr>
            <w:r>
              <w:rPr>
                <w:rFonts w:hint="eastAsia" w:ascii="仿宋_GB2312" w:hAnsi="仿宋_GB2312" w:eastAsia="仿宋_GB2312" w:cs="仿宋_GB2312"/>
                <w:vertAlign w:val="baseline"/>
                <w:lang w:eastAsia="zh-CN"/>
              </w:rPr>
              <w:t>【行政法规】《军人抚恤优待条例》（</w:t>
            </w:r>
            <w:r>
              <w:rPr>
                <w:rFonts w:hint="eastAsia" w:ascii="仿宋_GB2312" w:hAnsi="仿宋_GB2312" w:eastAsia="仿宋_GB2312" w:cs="仿宋_GB2312"/>
                <w:vertAlign w:val="baseline"/>
                <w:lang w:val="en-US" w:eastAsia="zh-CN"/>
              </w:rPr>
              <w:t>2024年10月1日施行</w:t>
            </w:r>
            <w:r>
              <w:rPr>
                <w:rFonts w:hint="eastAsia" w:ascii="仿宋_GB2312" w:hAnsi="仿宋_GB2312" w:eastAsia="仿宋_GB2312" w:cs="仿宋_GB2312"/>
                <w:vertAlign w:val="baseline"/>
                <w:lang w:eastAsia="zh-CN"/>
              </w:rPr>
              <w:t>）第五十二条军人凭军官证、军士证、义务兵证、学员证等有效证件，乘坐境内运行的铁路旅客列车、轮船、长途客运班车和民航班机，享受购票、安检、候乘、通行等优先服务，随同出行的家属可以一同享受优先服务。</w:t>
            </w:r>
          </w:p>
        </w:tc>
        <w:tc>
          <w:tcPr>
            <w:tcW w:w="895" w:type="dxa"/>
            <w:noWrap w:val="0"/>
            <w:vAlign w:val="top"/>
          </w:tcPr>
          <w:p w14:paraId="5E04C6F7">
            <w:pPr>
              <w:rPr>
                <w:rFonts w:hint="eastAsia"/>
                <w:vertAlign w:val="baseline"/>
                <w:lang w:eastAsia="zh-CN"/>
              </w:rPr>
            </w:pPr>
          </w:p>
        </w:tc>
        <w:tc>
          <w:tcPr>
            <w:tcW w:w="750" w:type="dxa"/>
            <w:noWrap w:val="0"/>
            <w:vAlign w:val="top"/>
          </w:tcPr>
          <w:p w14:paraId="3FB62FFA">
            <w:pPr>
              <w:rPr>
                <w:rFonts w:hint="eastAsia"/>
                <w:vertAlign w:val="baseline"/>
                <w:lang w:eastAsia="zh-CN"/>
              </w:rPr>
            </w:pPr>
          </w:p>
        </w:tc>
        <w:tc>
          <w:tcPr>
            <w:tcW w:w="667" w:type="dxa"/>
            <w:noWrap w:val="0"/>
            <w:vAlign w:val="top"/>
          </w:tcPr>
          <w:p w14:paraId="4A1D27EF">
            <w:pPr>
              <w:rPr>
                <w:rFonts w:hint="eastAsia"/>
                <w:vertAlign w:val="baseline"/>
                <w:lang w:eastAsia="zh-CN"/>
              </w:rPr>
            </w:pPr>
          </w:p>
        </w:tc>
        <w:tc>
          <w:tcPr>
            <w:tcW w:w="1113" w:type="dxa"/>
            <w:noWrap w:val="0"/>
            <w:vAlign w:val="center"/>
          </w:tcPr>
          <w:p w14:paraId="257E6CEA">
            <w:pPr>
              <w:jc w:val="center"/>
              <w:rPr>
                <w:rFonts w:hint="eastAsia"/>
                <w:vertAlign w:val="baseline"/>
                <w:lang w:eastAsia="zh-CN"/>
              </w:rPr>
            </w:pPr>
            <w:r>
              <w:rPr>
                <w:rFonts w:hint="eastAsia"/>
                <w:vertAlign w:val="baseline"/>
                <w:lang w:eastAsia="zh-CN"/>
              </w:rPr>
              <w:t>省退役军人事务厅、市退役军人事务局、县级退役军人事务局</w:t>
            </w:r>
          </w:p>
        </w:tc>
        <w:tc>
          <w:tcPr>
            <w:tcW w:w="725" w:type="dxa"/>
            <w:noWrap w:val="0"/>
            <w:vAlign w:val="top"/>
          </w:tcPr>
          <w:p w14:paraId="460443DD">
            <w:pPr>
              <w:rPr>
                <w:rFonts w:hint="eastAsia"/>
                <w:vertAlign w:val="baseline"/>
                <w:lang w:eastAsia="zh-CN"/>
              </w:rPr>
            </w:pPr>
            <w:r>
              <w:rPr>
                <w:rFonts w:hint="eastAsia"/>
                <w:vertAlign w:val="baseline"/>
                <w:lang w:eastAsia="zh-CN"/>
              </w:rPr>
              <w:t>现场检查与非现场检查相结合</w:t>
            </w:r>
          </w:p>
        </w:tc>
        <w:tc>
          <w:tcPr>
            <w:tcW w:w="2450" w:type="dxa"/>
            <w:noWrap w:val="0"/>
            <w:vAlign w:val="top"/>
          </w:tcPr>
          <w:p w14:paraId="68C33DF1">
            <w:pPr>
              <w:rPr>
                <w:rFonts w:hint="eastAsia"/>
                <w:vertAlign w:val="baseline"/>
                <w:lang w:eastAsia="zh-CN"/>
              </w:rPr>
            </w:pPr>
            <w:r>
              <w:rPr>
                <w:rFonts w:hint="eastAsia"/>
                <w:vertAlign w:val="baseline"/>
                <w:lang w:eastAsia="zh-CN"/>
              </w:rPr>
              <w:t>涉企行政检查以属地管理为原则，为市属国有企业的，由市级退役军人事务部门负责，为省属国有企业和中央在辽国有企业的，由省级退役军人部门负责</w:t>
            </w:r>
          </w:p>
        </w:tc>
      </w:tr>
      <w:tr w14:paraId="397E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00" w:type="dxa"/>
            <w:noWrap w:val="0"/>
            <w:vAlign w:val="center"/>
          </w:tcPr>
          <w:p w14:paraId="2196D473">
            <w:pPr>
              <w:jc w:val="center"/>
              <w:rPr>
                <w:rFonts w:hint="default"/>
                <w:vertAlign w:val="baseline"/>
                <w:lang w:val="en-US" w:eastAsia="zh-CN"/>
              </w:rPr>
            </w:pPr>
            <w:r>
              <w:rPr>
                <w:rFonts w:hint="eastAsia"/>
                <w:vertAlign w:val="baseline"/>
                <w:lang w:val="en-US" w:eastAsia="zh-CN"/>
              </w:rPr>
              <w:t>3</w:t>
            </w:r>
          </w:p>
        </w:tc>
        <w:tc>
          <w:tcPr>
            <w:tcW w:w="1112" w:type="dxa"/>
            <w:noWrap w:val="0"/>
            <w:vAlign w:val="center"/>
          </w:tcPr>
          <w:p w14:paraId="2D49B8A4">
            <w:pPr>
              <w:jc w:val="both"/>
              <w:rPr>
                <w:rFonts w:hint="eastAsia"/>
                <w:vertAlign w:val="baseline"/>
                <w:lang w:eastAsia="zh-CN"/>
              </w:rPr>
            </w:pPr>
            <w:r>
              <w:rPr>
                <w:rFonts w:hint="eastAsia"/>
                <w:vertAlign w:val="baseline"/>
                <w:lang w:eastAsia="zh-CN"/>
              </w:rPr>
              <w:t>对残疾军人的优待政策落实情况的行政检查</w:t>
            </w:r>
          </w:p>
        </w:tc>
        <w:tc>
          <w:tcPr>
            <w:tcW w:w="2813" w:type="dxa"/>
            <w:noWrap w:val="0"/>
            <w:vAlign w:val="top"/>
          </w:tcPr>
          <w:p w14:paraId="57156BB9">
            <w:pPr>
              <w:rPr>
                <w:rFonts w:hint="eastAsia"/>
                <w:vertAlign w:val="baseline"/>
                <w:lang w:eastAsia="zh-CN"/>
              </w:rPr>
            </w:pPr>
            <w:r>
              <w:rPr>
                <w:rFonts w:hint="eastAsia" w:ascii="仿宋_GB2312" w:hAnsi="仿宋_GB2312" w:eastAsia="仿宋_GB2312" w:cs="仿宋_GB2312"/>
                <w:vertAlign w:val="baseline"/>
                <w:lang w:eastAsia="zh-CN"/>
              </w:rPr>
              <w:t>【法律】《中华人民共和国退役军人保障法》（</w:t>
            </w:r>
            <w:r>
              <w:rPr>
                <w:rFonts w:hint="eastAsia" w:ascii="仿宋_GB2312" w:hAnsi="仿宋_GB2312" w:eastAsia="仿宋_GB2312" w:cs="仿宋_GB2312"/>
                <w:vertAlign w:val="baseline"/>
                <w:lang w:val="en-US" w:eastAsia="zh-CN"/>
              </w:rPr>
              <w:t>2021年1月1日施行</w:t>
            </w:r>
            <w:r>
              <w:rPr>
                <w:rFonts w:hint="eastAsia" w:ascii="仿宋_GB2312" w:hAnsi="仿宋_GB2312" w:eastAsia="仿宋_GB2312" w:cs="仿宋_GB2312"/>
                <w:vertAlign w:val="baseline"/>
                <w:lang w:eastAsia="zh-CN"/>
              </w:rPr>
              <w:t>）第七十一条设立监督检查退役军人保障相关法律法规和政策措施落实情况行政检查</w:t>
            </w:r>
          </w:p>
        </w:tc>
        <w:tc>
          <w:tcPr>
            <w:tcW w:w="3750" w:type="dxa"/>
            <w:noWrap w:val="0"/>
            <w:vAlign w:val="top"/>
          </w:tcPr>
          <w:p w14:paraId="6FC8E313">
            <w:pP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eastAsia="zh-CN"/>
              </w:rPr>
              <w:t>【行政法规】《军人抚恤优待条例》（</w:t>
            </w:r>
            <w:r>
              <w:rPr>
                <w:rFonts w:hint="eastAsia" w:ascii="仿宋_GB2312" w:hAnsi="仿宋_GB2312" w:eastAsia="仿宋_GB2312" w:cs="仿宋_GB2312"/>
                <w:vertAlign w:val="baseline"/>
                <w:lang w:val="en-US" w:eastAsia="zh-CN"/>
              </w:rPr>
              <w:t>2024年10月1日施行</w:t>
            </w:r>
            <w:r>
              <w:rPr>
                <w:rFonts w:hint="eastAsia" w:ascii="仿宋_GB2312" w:hAnsi="仿宋_GB2312" w:eastAsia="仿宋_GB2312" w:cs="仿宋_GB2312"/>
                <w:vertAlign w:val="baseline"/>
                <w:lang w:eastAsia="zh-CN"/>
              </w:rPr>
              <w:t>）第五十二条残疾军人凭《中华人民共和国残疾军人证》，乘坐境内运行的铁路旅客列车、轮船、长途客运班车和民航班机，享受购票、安检、候乘、通行等优先服务，随同出行的家属可以一同享受优先服务；残疾军人享受减收国内运输经营者对外公布票价的</w:t>
            </w:r>
            <w:r>
              <w:rPr>
                <w:rFonts w:hint="eastAsia" w:ascii="仿宋_GB2312" w:hAnsi="仿宋_GB2312" w:eastAsia="仿宋_GB2312" w:cs="仿宋_GB2312"/>
                <w:vertAlign w:val="baseline"/>
                <w:lang w:val="en-US" w:eastAsia="zh-CN"/>
              </w:rPr>
              <w:t>50%的优待。</w:t>
            </w:r>
          </w:p>
          <w:p w14:paraId="0B72187B">
            <w:pPr>
              <w:rPr>
                <w:rFonts w:hint="eastAsia" w:ascii="仿宋_GB2312" w:hAnsi="仿宋_GB2312" w:eastAsia="仿宋_GB2312" w:cs="仿宋_GB2312"/>
                <w:vertAlign w:val="baseline"/>
                <w:lang w:val="en-US" w:eastAsia="zh-CN"/>
              </w:rPr>
            </w:pPr>
          </w:p>
        </w:tc>
        <w:tc>
          <w:tcPr>
            <w:tcW w:w="895" w:type="dxa"/>
            <w:noWrap w:val="0"/>
            <w:vAlign w:val="top"/>
          </w:tcPr>
          <w:p w14:paraId="07F706A4">
            <w:pPr>
              <w:rPr>
                <w:rFonts w:hint="eastAsia"/>
                <w:vertAlign w:val="baseline"/>
                <w:lang w:eastAsia="zh-CN"/>
              </w:rPr>
            </w:pPr>
          </w:p>
        </w:tc>
        <w:tc>
          <w:tcPr>
            <w:tcW w:w="750" w:type="dxa"/>
            <w:noWrap w:val="0"/>
            <w:vAlign w:val="top"/>
          </w:tcPr>
          <w:p w14:paraId="2E890BAB">
            <w:pPr>
              <w:rPr>
                <w:rFonts w:hint="eastAsia"/>
                <w:vertAlign w:val="baseline"/>
                <w:lang w:eastAsia="zh-CN"/>
              </w:rPr>
            </w:pPr>
          </w:p>
        </w:tc>
        <w:tc>
          <w:tcPr>
            <w:tcW w:w="667" w:type="dxa"/>
            <w:noWrap w:val="0"/>
            <w:vAlign w:val="top"/>
          </w:tcPr>
          <w:p w14:paraId="1D15DC6C">
            <w:pPr>
              <w:rPr>
                <w:rFonts w:hint="eastAsia"/>
                <w:vertAlign w:val="baseline"/>
                <w:lang w:eastAsia="zh-CN"/>
              </w:rPr>
            </w:pPr>
          </w:p>
        </w:tc>
        <w:tc>
          <w:tcPr>
            <w:tcW w:w="1113" w:type="dxa"/>
            <w:noWrap w:val="0"/>
            <w:vAlign w:val="center"/>
          </w:tcPr>
          <w:p w14:paraId="376F6D93">
            <w:pPr>
              <w:jc w:val="center"/>
              <w:rPr>
                <w:rFonts w:hint="eastAsia"/>
                <w:vertAlign w:val="baseline"/>
                <w:lang w:eastAsia="zh-CN"/>
              </w:rPr>
            </w:pPr>
            <w:r>
              <w:rPr>
                <w:rFonts w:hint="eastAsia"/>
                <w:vertAlign w:val="baseline"/>
                <w:lang w:eastAsia="zh-CN"/>
              </w:rPr>
              <w:t>省退役军人事务厅、市退役军人事务局、县级退役军人事务局</w:t>
            </w:r>
          </w:p>
        </w:tc>
        <w:tc>
          <w:tcPr>
            <w:tcW w:w="725" w:type="dxa"/>
            <w:noWrap w:val="0"/>
            <w:vAlign w:val="top"/>
          </w:tcPr>
          <w:p w14:paraId="33D904F6">
            <w:pPr>
              <w:rPr>
                <w:rFonts w:hint="eastAsia"/>
                <w:vertAlign w:val="baseline"/>
                <w:lang w:eastAsia="zh-CN"/>
              </w:rPr>
            </w:pPr>
            <w:r>
              <w:rPr>
                <w:rFonts w:hint="eastAsia"/>
                <w:vertAlign w:val="baseline"/>
                <w:lang w:eastAsia="zh-CN"/>
              </w:rPr>
              <w:t>现场检查与非现场检查相结合</w:t>
            </w:r>
          </w:p>
        </w:tc>
        <w:tc>
          <w:tcPr>
            <w:tcW w:w="2450" w:type="dxa"/>
            <w:noWrap w:val="0"/>
            <w:vAlign w:val="top"/>
          </w:tcPr>
          <w:p w14:paraId="044C5DA2">
            <w:pPr>
              <w:rPr>
                <w:rFonts w:hint="eastAsia"/>
                <w:vertAlign w:val="baseline"/>
                <w:lang w:eastAsia="zh-CN"/>
              </w:rPr>
            </w:pPr>
            <w:r>
              <w:rPr>
                <w:rFonts w:hint="eastAsia"/>
                <w:vertAlign w:val="baseline"/>
                <w:lang w:eastAsia="zh-CN"/>
              </w:rPr>
              <w:t>涉企行政检查以属地管理为原则，为市属国有企业的，由市级退役军人事务部门负责，为省属国有企业和中央在辽国有企业的，由省级退役军人部门负责</w:t>
            </w:r>
          </w:p>
        </w:tc>
      </w:tr>
      <w:tr w14:paraId="4A72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070" w:hRule="atLeast"/>
        </w:trPr>
        <w:tc>
          <w:tcPr>
            <w:tcW w:w="400" w:type="dxa"/>
            <w:noWrap w:val="0"/>
            <w:vAlign w:val="center"/>
          </w:tcPr>
          <w:p w14:paraId="5C99B4F1">
            <w:pPr>
              <w:jc w:val="center"/>
              <w:rPr>
                <w:rFonts w:hint="default"/>
                <w:vertAlign w:val="baseline"/>
                <w:lang w:val="en-US" w:eastAsia="zh-CN"/>
              </w:rPr>
            </w:pPr>
            <w:r>
              <w:rPr>
                <w:rFonts w:hint="eastAsia"/>
                <w:vertAlign w:val="baseline"/>
                <w:lang w:val="en-US" w:eastAsia="zh-CN"/>
              </w:rPr>
              <w:t>4</w:t>
            </w:r>
          </w:p>
        </w:tc>
        <w:tc>
          <w:tcPr>
            <w:tcW w:w="1112" w:type="dxa"/>
            <w:noWrap w:val="0"/>
            <w:vAlign w:val="center"/>
          </w:tcPr>
          <w:p w14:paraId="5A5AEC6D">
            <w:pPr>
              <w:jc w:val="both"/>
              <w:rPr>
                <w:rFonts w:hint="eastAsia"/>
                <w:vertAlign w:val="baseline"/>
                <w:lang w:eastAsia="zh-CN"/>
              </w:rPr>
            </w:pPr>
            <w:r>
              <w:rPr>
                <w:rFonts w:hint="eastAsia" w:ascii="宋体" w:hAnsi="宋体" w:eastAsia="宋体" w:cs="宋体"/>
                <w:vertAlign w:val="baseline"/>
                <w:lang w:eastAsia="zh-CN"/>
              </w:rPr>
              <w:t>对烈士遗属、因公牺牲军人遗属、病故军人遗属优待政策落实情况的行政检查</w:t>
            </w:r>
          </w:p>
        </w:tc>
        <w:tc>
          <w:tcPr>
            <w:tcW w:w="2813" w:type="dxa"/>
            <w:noWrap w:val="0"/>
            <w:vAlign w:val="top"/>
          </w:tcPr>
          <w:p w14:paraId="16BC6D86">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【法律】《中华人民共和国退役军人保障法》（</w:t>
            </w:r>
            <w:r>
              <w:rPr>
                <w:rFonts w:hint="eastAsia" w:ascii="仿宋_GB2312" w:hAnsi="仿宋_GB2312" w:eastAsia="仿宋_GB2312" w:cs="仿宋_GB2312"/>
                <w:vertAlign w:val="baseline"/>
                <w:lang w:val="en-US" w:eastAsia="zh-CN"/>
              </w:rPr>
              <w:t>2021年1月1日施行</w:t>
            </w:r>
            <w:r>
              <w:rPr>
                <w:rFonts w:hint="eastAsia" w:ascii="仿宋_GB2312" w:hAnsi="仿宋_GB2312" w:eastAsia="仿宋_GB2312" w:cs="仿宋_GB2312"/>
                <w:vertAlign w:val="baseline"/>
                <w:lang w:eastAsia="zh-CN"/>
              </w:rPr>
              <w:t>）第七十一条设立监督检查退役军人保障相关法律法规和政策措施落实情况行政检查</w:t>
            </w:r>
          </w:p>
        </w:tc>
        <w:tc>
          <w:tcPr>
            <w:tcW w:w="3750" w:type="dxa"/>
            <w:noWrap w:val="0"/>
            <w:vAlign w:val="top"/>
          </w:tcPr>
          <w:p w14:paraId="4687518C">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行政法规】《军人抚恤优待条例》（</w:t>
            </w:r>
            <w:r>
              <w:rPr>
                <w:rFonts w:hint="eastAsia" w:ascii="仿宋_GB2312" w:hAnsi="仿宋_GB2312" w:eastAsia="仿宋_GB2312" w:cs="仿宋_GB2312"/>
                <w:vertAlign w:val="baseline"/>
                <w:lang w:val="en-US" w:eastAsia="zh-CN"/>
              </w:rPr>
              <w:t>2024年10月1日施行</w:t>
            </w:r>
            <w:r>
              <w:rPr>
                <w:rFonts w:hint="eastAsia" w:ascii="仿宋_GB2312" w:hAnsi="仿宋_GB2312" w:eastAsia="仿宋_GB2312" w:cs="仿宋_GB2312"/>
                <w:vertAlign w:val="baseline"/>
                <w:lang w:eastAsia="zh-CN"/>
              </w:rPr>
              <w:t>）第五十二条</w:t>
            </w:r>
            <w:r>
              <w:rPr>
                <w:rFonts w:hint="eastAsia" w:ascii="仿宋_GB2312" w:hAnsi="仿宋_GB2312" w:eastAsia="仿宋_GB2312" w:cs="仿宋_GB2312"/>
                <w:vertAlign w:val="baseline"/>
                <w:lang w:val="en-US" w:eastAsia="zh-CN"/>
              </w:rPr>
              <w:t xml:space="preserve"> </w:t>
            </w:r>
            <w:r>
              <w:rPr>
                <w:rFonts w:hint="eastAsia" w:ascii="仿宋_GB2312" w:hAnsi="仿宋_GB2312" w:eastAsia="仿宋_GB2312" w:cs="仿宋_GB2312"/>
                <w:vertAlign w:val="baseline"/>
                <w:lang w:eastAsia="zh-CN"/>
              </w:rPr>
              <w:t>烈士遗属、因公牺牲军人遗属、病故军人遗属凭优待证，乘坐境内运行的铁路旅客列车、轮船、长途客运班车和民航班机，享受购票、安检、候乘、通行等优先服务，随同出行的家属可以一同享受优先服务。</w:t>
            </w:r>
          </w:p>
          <w:p w14:paraId="0FC3F935">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第四十一条第三款。各类社会福利机构应当优先接收抚恤优待对象。烈士遗属、因公牺牲军人遗属、病故军人遗属和军人家属，符合规定条件申请入住公办养老机构的，同等条件下优先安排。</w:t>
            </w:r>
          </w:p>
        </w:tc>
        <w:tc>
          <w:tcPr>
            <w:tcW w:w="895" w:type="dxa"/>
            <w:noWrap w:val="0"/>
            <w:vAlign w:val="top"/>
          </w:tcPr>
          <w:p w14:paraId="67AE9EB1">
            <w:pPr>
              <w:rPr>
                <w:rFonts w:hint="eastAsia"/>
                <w:vertAlign w:val="baseline"/>
                <w:lang w:eastAsia="zh-CN"/>
              </w:rPr>
            </w:pPr>
          </w:p>
        </w:tc>
        <w:tc>
          <w:tcPr>
            <w:tcW w:w="750" w:type="dxa"/>
            <w:noWrap w:val="0"/>
            <w:vAlign w:val="top"/>
          </w:tcPr>
          <w:p w14:paraId="46E752D1">
            <w:pPr>
              <w:rPr>
                <w:rFonts w:hint="eastAsia"/>
                <w:vertAlign w:val="baseline"/>
                <w:lang w:eastAsia="zh-CN"/>
              </w:rPr>
            </w:pPr>
          </w:p>
        </w:tc>
        <w:tc>
          <w:tcPr>
            <w:tcW w:w="667" w:type="dxa"/>
            <w:noWrap w:val="0"/>
            <w:vAlign w:val="top"/>
          </w:tcPr>
          <w:p w14:paraId="22BD26AC">
            <w:pPr>
              <w:rPr>
                <w:rFonts w:hint="eastAsia"/>
                <w:vertAlign w:val="baseline"/>
                <w:lang w:eastAsia="zh-CN"/>
              </w:rPr>
            </w:pPr>
          </w:p>
        </w:tc>
        <w:tc>
          <w:tcPr>
            <w:tcW w:w="1113" w:type="dxa"/>
            <w:noWrap w:val="0"/>
            <w:vAlign w:val="center"/>
          </w:tcPr>
          <w:p w14:paraId="476A2F84">
            <w:pPr>
              <w:jc w:val="center"/>
              <w:rPr>
                <w:rFonts w:hint="eastAsia"/>
                <w:vertAlign w:val="baseline"/>
                <w:lang w:eastAsia="zh-CN"/>
              </w:rPr>
            </w:pPr>
            <w:r>
              <w:rPr>
                <w:rFonts w:hint="eastAsia"/>
                <w:vertAlign w:val="baseline"/>
                <w:lang w:eastAsia="zh-CN"/>
              </w:rPr>
              <w:t>省退役军人事务厅、市退役军人事务局、县级退役军人事务局</w:t>
            </w:r>
          </w:p>
        </w:tc>
        <w:tc>
          <w:tcPr>
            <w:tcW w:w="725" w:type="dxa"/>
            <w:noWrap w:val="0"/>
            <w:vAlign w:val="top"/>
          </w:tcPr>
          <w:p w14:paraId="26ADC34E">
            <w:pPr>
              <w:rPr>
                <w:rFonts w:hint="eastAsia"/>
                <w:vertAlign w:val="baseline"/>
                <w:lang w:eastAsia="zh-CN"/>
              </w:rPr>
            </w:pPr>
          </w:p>
        </w:tc>
        <w:tc>
          <w:tcPr>
            <w:tcW w:w="2450" w:type="dxa"/>
            <w:noWrap w:val="0"/>
            <w:vAlign w:val="top"/>
          </w:tcPr>
          <w:p w14:paraId="33C03F9A">
            <w:pPr>
              <w:rPr>
                <w:rFonts w:hint="eastAsia"/>
                <w:vertAlign w:val="baseline"/>
                <w:lang w:eastAsia="zh-CN"/>
              </w:rPr>
            </w:pPr>
            <w:r>
              <w:rPr>
                <w:rFonts w:hint="eastAsia"/>
                <w:vertAlign w:val="baseline"/>
                <w:lang w:eastAsia="zh-CN"/>
              </w:rPr>
              <w:t>涉企行政检查以属地管理为原则，为市属国有企业的，由市级退役军人事务部门负责，为省属国有企业和中央在辽国有企业的，由省级退役军人部门负责</w:t>
            </w:r>
          </w:p>
        </w:tc>
      </w:tr>
      <w:tr w14:paraId="2E7A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46" w:hRule="atLeast"/>
        </w:trPr>
        <w:tc>
          <w:tcPr>
            <w:tcW w:w="400" w:type="dxa"/>
            <w:noWrap w:val="0"/>
            <w:vAlign w:val="center"/>
          </w:tcPr>
          <w:p w14:paraId="57F4ABC5">
            <w:pPr>
              <w:jc w:val="center"/>
              <w:rPr>
                <w:rFonts w:hint="default"/>
                <w:vertAlign w:val="baseline"/>
                <w:lang w:val="en-US" w:eastAsia="zh-CN"/>
              </w:rPr>
            </w:pPr>
            <w:r>
              <w:rPr>
                <w:rFonts w:hint="eastAsia"/>
                <w:vertAlign w:val="baseline"/>
                <w:lang w:val="en-US" w:eastAsia="zh-CN"/>
              </w:rPr>
              <w:t>5</w:t>
            </w:r>
          </w:p>
        </w:tc>
        <w:tc>
          <w:tcPr>
            <w:tcW w:w="1112" w:type="dxa"/>
            <w:noWrap w:val="0"/>
            <w:vAlign w:val="center"/>
          </w:tcPr>
          <w:p w14:paraId="0410E7B1">
            <w:pPr>
              <w:jc w:val="center"/>
              <w:rPr>
                <w:rFonts w:hint="eastAsia"/>
                <w:vertAlign w:val="baseline"/>
                <w:lang w:eastAsia="zh-CN"/>
              </w:rPr>
            </w:pPr>
            <w:r>
              <w:rPr>
                <w:rFonts w:hint="eastAsia"/>
                <w:vertAlign w:val="baseline"/>
                <w:lang w:eastAsia="zh-CN"/>
              </w:rPr>
              <w:t>对履行烈士遗属优待义务情况的监督检查</w:t>
            </w:r>
          </w:p>
        </w:tc>
        <w:tc>
          <w:tcPr>
            <w:tcW w:w="2813" w:type="dxa"/>
            <w:noWrap w:val="0"/>
            <w:vAlign w:val="top"/>
          </w:tcPr>
          <w:p w14:paraId="08BC297A">
            <w:pPr>
              <w:rPr>
                <w:rFonts w:hint="eastAsia"/>
                <w:vertAlign w:val="baseline"/>
                <w:lang w:eastAsia="zh-CN"/>
              </w:rPr>
            </w:pPr>
            <w:r>
              <w:rPr>
                <w:rFonts w:hint="eastAsia" w:ascii="仿宋_GB2312" w:hAnsi="仿宋_GB2312" w:eastAsia="仿宋_GB2312" w:cs="仿宋_GB2312"/>
                <w:vertAlign w:val="baseline"/>
                <w:lang w:eastAsia="zh-CN"/>
              </w:rPr>
              <w:t>【法律】《中华人民共和国退役军人保障法》（</w:t>
            </w:r>
            <w:r>
              <w:rPr>
                <w:rFonts w:hint="eastAsia" w:ascii="仿宋_GB2312" w:hAnsi="仿宋_GB2312" w:eastAsia="仿宋_GB2312" w:cs="仿宋_GB2312"/>
                <w:vertAlign w:val="baseline"/>
                <w:lang w:val="en-US" w:eastAsia="zh-CN"/>
              </w:rPr>
              <w:t>2021年1月1日施行</w:t>
            </w:r>
            <w:r>
              <w:rPr>
                <w:rFonts w:hint="eastAsia" w:ascii="仿宋_GB2312" w:hAnsi="仿宋_GB2312" w:eastAsia="仿宋_GB2312" w:cs="仿宋_GB2312"/>
                <w:vertAlign w:val="baseline"/>
                <w:lang w:eastAsia="zh-CN"/>
              </w:rPr>
              <w:t>）第七十一条设立监督检查退役军人保障相关法律法规和政策措施落实情况行政检查</w:t>
            </w:r>
          </w:p>
        </w:tc>
        <w:tc>
          <w:tcPr>
            <w:tcW w:w="3750" w:type="dxa"/>
            <w:noWrap w:val="0"/>
            <w:vAlign w:val="top"/>
          </w:tcPr>
          <w:p w14:paraId="27379BF8">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【行政法规】《军人抚恤优待条例》（</w:t>
            </w:r>
            <w:r>
              <w:rPr>
                <w:rFonts w:hint="eastAsia" w:ascii="仿宋_GB2312" w:hAnsi="仿宋_GB2312" w:eastAsia="仿宋_GB2312" w:cs="仿宋_GB2312"/>
                <w:vertAlign w:val="baseline"/>
                <w:lang w:val="en-US" w:eastAsia="zh-CN"/>
              </w:rPr>
              <w:t>2024年10月1日施行</w:t>
            </w:r>
            <w:r>
              <w:rPr>
                <w:rFonts w:hint="eastAsia" w:ascii="仿宋_GB2312" w:hAnsi="仿宋_GB2312" w:eastAsia="仿宋_GB2312" w:cs="仿宋_GB2312"/>
                <w:vertAlign w:val="baseline"/>
                <w:lang w:eastAsia="zh-CN"/>
              </w:rPr>
              <w:t>）第三十九条国家对烈士遗属逐步加大教育、医疗、就业、养老、住房、交通、文化等方面的优待力度。国务院有关部门、军队有关部门和地方人民政府应当关心烈士遗属的生活情况，开展走访慰问，及时给予烈士遗属荣誉激励和精神抚慰。烈士子女符合公务员、社区专职工作人员考录、聘用条件的，在同等条件下优先录用或聘用。</w:t>
            </w:r>
          </w:p>
          <w:p w14:paraId="6656F136">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《烈士褒扬条例》（</w:t>
            </w:r>
            <w:r>
              <w:rPr>
                <w:rFonts w:hint="eastAsia" w:ascii="仿宋_GB2312" w:hAnsi="仿宋_GB2312" w:eastAsia="仿宋_GB2312" w:cs="仿宋_GB2312"/>
                <w:vertAlign w:val="baseline"/>
                <w:lang w:val="en-US" w:eastAsia="zh-CN"/>
              </w:rPr>
              <w:t>2024年9月27日修订</w:t>
            </w:r>
            <w:r>
              <w:rPr>
                <w:rFonts w:hint="eastAsia" w:ascii="仿宋_GB2312" w:hAnsi="仿宋_GB2312" w:eastAsia="仿宋_GB2312" w:cs="仿宋_GB2312"/>
                <w:vertAlign w:val="baseline"/>
                <w:lang w:eastAsia="zh-CN"/>
              </w:rPr>
              <w:t>）第三十条</w:t>
            </w:r>
            <w:r>
              <w:rPr>
                <w:rFonts w:hint="eastAsia" w:ascii="仿宋_GB2312" w:hAnsi="仿宋_GB2312" w:eastAsia="仿宋_GB2312" w:cs="仿宋_GB2312"/>
                <w:vertAlign w:val="baseline"/>
                <w:lang w:val="en-US" w:eastAsia="zh-CN"/>
              </w:rPr>
              <w:t xml:space="preserve"> 烈士遗属</w:t>
            </w:r>
            <w:r>
              <w:rPr>
                <w:rFonts w:hint="eastAsia" w:ascii="仿宋_GB2312" w:hAnsi="仿宋_GB2312" w:eastAsia="仿宋_GB2312" w:cs="仿宋_GB2312"/>
                <w:vertAlign w:val="baseline"/>
                <w:lang w:eastAsia="zh-CN"/>
              </w:rPr>
              <w:t>凭优待证，乘坐境内运行的铁路旅客列车、轮船、长途客运班车和民航班机，享受购票、安检、候乘、通行等优先服务，随同出行的家属可以一同享受优先服务。</w:t>
            </w:r>
          </w:p>
          <w:p w14:paraId="49091ED8">
            <w:pP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eastAsia="zh-CN"/>
              </w:rPr>
              <w:t>第三十一条</w:t>
            </w:r>
            <w:r>
              <w:rPr>
                <w:rFonts w:hint="eastAsia" w:ascii="仿宋_GB2312" w:hAnsi="仿宋_GB2312" w:eastAsia="仿宋_GB2312" w:cs="仿宋_GB2312"/>
                <w:vertAlign w:val="baseline"/>
                <w:lang w:val="en-US" w:eastAsia="zh-CN"/>
              </w:rPr>
              <w:t xml:space="preserve"> 老年、残疾或者未满16周岁的烈士遗属，符合规定条件的可以根据本人意愿在光荣院、优抚医院集中供养。各类社会福利机构应当优先接收烈士遗属，公办福利机构应当为烈士遗属提供优惠服务。</w:t>
            </w:r>
          </w:p>
        </w:tc>
        <w:tc>
          <w:tcPr>
            <w:tcW w:w="895" w:type="dxa"/>
            <w:noWrap w:val="0"/>
            <w:vAlign w:val="top"/>
          </w:tcPr>
          <w:p w14:paraId="43BCDBE0">
            <w:pPr>
              <w:rPr>
                <w:rFonts w:hint="eastAsia"/>
                <w:vertAlign w:val="baseline"/>
                <w:lang w:eastAsia="zh-CN"/>
              </w:rPr>
            </w:pPr>
          </w:p>
        </w:tc>
        <w:tc>
          <w:tcPr>
            <w:tcW w:w="750" w:type="dxa"/>
            <w:noWrap w:val="0"/>
            <w:vAlign w:val="top"/>
          </w:tcPr>
          <w:p w14:paraId="4076B69F">
            <w:pPr>
              <w:rPr>
                <w:rFonts w:hint="eastAsia"/>
                <w:vertAlign w:val="baseline"/>
                <w:lang w:eastAsia="zh-CN"/>
              </w:rPr>
            </w:pPr>
          </w:p>
        </w:tc>
        <w:tc>
          <w:tcPr>
            <w:tcW w:w="667" w:type="dxa"/>
            <w:noWrap w:val="0"/>
            <w:vAlign w:val="top"/>
          </w:tcPr>
          <w:p w14:paraId="32D270BF">
            <w:pPr>
              <w:rPr>
                <w:rFonts w:hint="eastAsia"/>
                <w:vertAlign w:val="baseline"/>
                <w:lang w:eastAsia="zh-CN"/>
              </w:rPr>
            </w:pPr>
          </w:p>
        </w:tc>
        <w:tc>
          <w:tcPr>
            <w:tcW w:w="1113" w:type="dxa"/>
            <w:noWrap w:val="0"/>
            <w:vAlign w:val="center"/>
          </w:tcPr>
          <w:p w14:paraId="13089721">
            <w:pPr>
              <w:jc w:val="left"/>
              <w:rPr>
                <w:rFonts w:hint="eastAsia"/>
                <w:vertAlign w:val="baseline"/>
                <w:lang w:eastAsia="zh-CN"/>
              </w:rPr>
            </w:pPr>
            <w:r>
              <w:rPr>
                <w:rFonts w:hint="eastAsia"/>
                <w:vertAlign w:val="baseline"/>
                <w:lang w:eastAsia="zh-CN"/>
              </w:rPr>
              <w:t>省退役军人事务厅、市退役军人事务局、县级退役军人事务局</w:t>
            </w:r>
          </w:p>
        </w:tc>
        <w:tc>
          <w:tcPr>
            <w:tcW w:w="725" w:type="dxa"/>
            <w:noWrap w:val="0"/>
            <w:vAlign w:val="top"/>
          </w:tcPr>
          <w:p w14:paraId="385DDF13">
            <w:pPr>
              <w:rPr>
                <w:rFonts w:hint="eastAsia"/>
                <w:vertAlign w:val="baseline"/>
                <w:lang w:eastAsia="zh-CN"/>
              </w:rPr>
            </w:pPr>
            <w:r>
              <w:rPr>
                <w:rFonts w:hint="eastAsia"/>
                <w:vertAlign w:val="baseline"/>
                <w:lang w:eastAsia="zh-CN"/>
              </w:rPr>
              <w:t>现场检查与非现场检查相结合</w:t>
            </w:r>
          </w:p>
        </w:tc>
        <w:tc>
          <w:tcPr>
            <w:tcW w:w="2450" w:type="dxa"/>
            <w:noWrap w:val="0"/>
            <w:vAlign w:val="top"/>
          </w:tcPr>
          <w:p w14:paraId="3424A2FA">
            <w:pPr>
              <w:rPr>
                <w:rFonts w:hint="eastAsia"/>
                <w:vertAlign w:val="baseline"/>
                <w:lang w:eastAsia="zh-CN"/>
              </w:rPr>
            </w:pPr>
            <w:r>
              <w:rPr>
                <w:rFonts w:hint="eastAsia"/>
                <w:vertAlign w:val="baseline"/>
                <w:lang w:eastAsia="zh-CN"/>
              </w:rPr>
              <w:t>涉企行政检查以属地管理为原则，为市属国有企业的，由市级退役军人事务部门负责，为省属国有企业和中央在辽国有企业的，由省级退役军人部门负责</w:t>
            </w:r>
          </w:p>
        </w:tc>
      </w:tr>
      <w:tr w14:paraId="01B3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046" w:hRule="atLeast"/>
        </w:trPr>
        <w:tc>
          <w:tcPr>
            <w:tcW w:w="400" w:type="dxa"/>
            <w:noWrap w:val="0"/>
            <w:vAlign w:val="center"/>
          </w:tcPr>
          <w:p w14:paraId="6482F555">
            <w:pPr>
              <w:jc w:val="center"/>
              <w:rPr>
                <w:rFonts w:hint="default"/>
                <w:vertAlign w:val="baseline"/>
                <w:lang w:val="en-US" w:eastAsia="zh-CN"/>
              </w:rPr>
            </w:pPr>
            <w:r>
              <w:rPr>
                <w:rFonts w:hint="eastAsia"/>
                <w:vertAlign w:val="baseline"/>
                <w:lang w:val="en-US" w:eastAsia="zh-CN"/>
              </w:rPr>
              <w:t>6</w:t>
            </w:r>
          </w:p>
        </w:tc>
        <w:tc>
          <w:tcPr>
            <w:tcW w:w="1112" w:type="dxa"/>
            <w:noWrap w:val="0"/>
            <w:vAlign w:val="center"/>
          </w:tcPr>
          <w:p w14:paraId="5B2ED708">
            <w:pPr>
              <w:jc w:val="center"/>
              <w:rPr>
                <w:rFonts w:hint="eastAsia"/>
                <w:vertAlign w:val="baseline"/>
                <w:lang w:eastAsia="zh-CN"/>
              </w:rPr>
            </w:pPr>
            <w:r>
              <w:rPr>
                <w:rFonts w:hint="eastAsia"/>
                <w:vertAlign w:val="baseline"/>
                <w:lang w:eastAsia="zh-CN"/>
              </w:rPr>
              <w:t>对为退役军人提供职业技能培训的普通高等学校、职业院校（含技工院校）、专业培训机构的培训质量进行检查考核的行政检查</w:t>
            </w:r>
          </w:p>
        </w:tc>
        <w:tc>
          <w:tcPr>
            <w:tcW w:w="2813" w:type="dxa"/>
            <w:noWrap w:val="0"/>
            <w:vAlign w:val="top"/>
          </w:tcPr>
          <w:p w14:paraId="21251B70">
            <w:pPr>
              <w:rPr>
                <w:rFonts w:hint="eastAsia" w:ascii="仿宋_GB2312" w:hAnsi="仿宋_GB2312" w:eastAsia="仿宋_GB2312" w:cs="仿宋_GB2312"/>
                <w:vertAlign w:val="baseline"/>
                <w:lang w:eastAsia="zh-CN"/>
              </w:rPr>
            </w:pPr>
            <w:r>
              <w:rPr>
                <w:rFonts w:hint="eastAsia" w:ascii="仿宋_GB2312" w:hAnsi="仿宋_GB2312" w:eastAsia="仿宋_GB2312" w:cs="仿宋_GB2312"/>
                <w:vertAlign w:val="baseline"/>
                <w:lang w:eastAsia="zh-CN"/>
              </w:rPr>
              <w:t>【法律】《中华人民共和国退役军人保障法》（</w:t>
            </w:r>
            <w:r>
              <w:rPr>
                <w:rFonts w:hint="eastAsia" w:ascii="仿宋_GB2312" w:hAnsi="仿宋_GB2312" w:eastAsia="仿宋_GB2312" w:cs="仿宋_GB2312"/>
                <w:vertAlign w:val="baseline"/>
                <w:lang w:val="en-US" w:eastAsia="zh-CN"/>
              </w:rPr>
              <w:t>2021年1月1日施行</w:t>
            </w:r>
            <w:r>
              <w:rPr>
                <w:rFonts w:hint="eastAsia" w:ascii="仿宋_GB2312" w:hAnsi="仿宋_GB2312" w:eastAsia="仿宋_GB2312" w:cs="仿宋_GB2312"/>
                <w:vertAlign w:val="baseline"/>
                <w:lang w:eastAsia="zh-CN"/>
              </w:rPr>
              <w:t>）第七十一条设立监督检查退役军人保障相关法律法规和政策措施落实情况行政检查</w:t>
            </w:r>
          </w:p>
          <w:p w14:paraId="340E5A78">
            <w:pPr>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eastAsia="zh-CN"/>
              </w:rPr>
              <w:t>第三十七条</w:t>
            </w:r>
            <w:r>
              <w:rPr>
                <w:rFonts w:hint="eastAsia" w:ascii="仿宋_GB2312" w:hAnsi="仿宋_GB2312" w:eastAsia="仿宋_GB2312" w:cs="仿宋_GB2312"/>
                <w:vertAlign w:val="baseline"/>
                <w:lang w:val="en-US" w:eastAsia="zh-CN"/>
              </w:rPr>
              <w:t xml:space="preserve"> 省级人民政府退役军人工作主管部门会同有关部门加强动态管理，定期对为退役军人提供职业技能培训的普通高等高等学校、职业院校（含技工院校）、专业培训机构的培训质量进行检查和考核，提高职业技能</w:t>
            </w:r>
          </w:p>
        </w:tc>
        <w:tc>
          <w:tcPr>
            <w:tcW w:w="3750" w:type="dxa"/>
            <w:noWrap w:val="0"/>
            <w:vAlign w:val="top"/>
          </w:tcPr>
          <w:p w14:paraId="2AC48FED">
            <w:pPr>
              <w:rPr>
                <w:rFonts w:hint="default" w:ascii="仿宋_GB2312" w:hAnsi="仿宋_GB2312" w:eastAsia="仿宋_GB2312" w:cs="仿宋_GB2312"/>
                <w:vertAlign w:val="baseline"/>
                <w:lang w:val="en-US" w:eastAsia="zh-CN"/>
              </w:rPr>
            </w:pPr>
          </w:p>
        </w:tc>
        <w:tc>
          <w:tcPr>
            <w:tcW w:w="895" w:type="dxa"/>
            <w:noWrap w:val="0"/>
            <w:vAlign w:val="top"/>
          </w:tcPr>
          <w:p w14:paraId="406DF290">
            <w:pPr>
              <w:rPr>
                <w:rFonts w:hint="eastAsia"/>
                <w:vertAlign w:val="baseline"/>
                <w:lang w:eastAsia="zh-CN"/>
              </w:rPr>
            </w:pPr>
          </w:p>
        </w:tc>
        <w:tc>
          <w:tcPr>
            <w:tcW w:w="750" w:type="dxa"/>
            <w:noWrap w:val="0"/>
            <w:vAlign w:val="top"/>
          </w:tcPr>
          <w:p w14:paraId="006A2649">
            <w:pPr>
              <w:rPr>
                <w:rFonts w:hint="eastAsia"/>
                <w:vertAlign w:val="baseline"/>
                <w:lang w:eastAsia="zh-CN"/>
              </w:rPr>
            </w:pPr>
          </w:p>
        </w:tc>
        <w:tc>
          <w:tcPr>
            <w:tcW w:w="667" w:type="dxa"/>
            <w:noWrap w:val="0"/>
            <w:vAlign w:val="top"/>
          </w:tcPr>
          <w:p w14:paraId="23501E0E">
            <w:pPr>
              <w:rPr>
                <w:rFonts w:hint="eastAsia"/>
                <w:vertAlign w:val="baseline"/>
                <w:lang w:eastAsia="zh-CN"/>
              </w:rPr>
            </w:pPr>
          </w:p>
        </w:tc>
        <w:tc>
          <w:tcPr>
            <w:tcW w:w="1113" w:type="dxa"/>
            <w:noWrap w:val="0"/>
            <w:vAlign w:val="center"/>
          </w:tcPr>
          <w:p w14:paraId="3940653D">
            <w:pPr>
              <w:jc w:val="center"/>
              <w:rPr>
                <w:rFonts w:hint="eastAsia"/>
                <w:vertAlign w:val="baseline"/>
                <w:lang w:eastAsia="zh-CN"/>
              </w:rPr>
            </w:pPr>
            <w:r>
              <w:rPr>
                <w:rFonts w:hint="eastAsia"/>
                <w:vertAlign w:val="baseline"/>
                <w:lang w:eastAsia="zh-CN"/>
              </w:rPr>
              <w:t>省退役军人事务厅</w:t>
            </w:r>
          </w:p>
        </w:tc>
        <w:tc>
          <w:tcPr>
            <w:tcW w:w="725" w:type="dxa"/>
            <w:noWrap w:val="0"/>
            <w:vAlign w:val="top"/>
          </w:tcPr>
          <w:p w14:paraId="0B2C0AC5">
            <w:pPr>
              <w:rPr>
                <w:rFonts w:hint="eastAsia"/>
                <w:vertAlign w:val="baseline"/>
                <w:lang w:eastAsia="zh-CN"/>
              </w:rPr>
            </w:pPr>
          </w:p>
        </w:tc>
        <w:tc>
          <w:tcPr>
            <w:tcW w:w="2450" w:type="dxa"/>
            <w:noWrap w:val="0"/>
            <w:vAlign w:val="top"/>
          </w:tcPr>
          <w:p w14:paraId="42EE6055">
            <w:pPr>
              <w:rPr>
                <w:rFonts w:hint="eastAsia"/>
                <w:vertAlign w:val="baseline"/>
                <w:lang w:eastAsia="zh-CN"/>
              </w:rPr>
            </w:pPr>
          </w:p>
        </w:tc>
      </w:tr>
    </w:tbl>
    <w:p w14:paraId="1C8BA149">
      <w:pPr>
        <w:rPr>
          <w:rFonts w:hint="eastAsia"/>
          <w:lang w:eastAsia="zh-CN"/>
        </w:rPr>
      </w:pPr>
    </w:p>
    <w:sectPr>
      <w:footerReference r:id="rId3" w:type="default"/>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9F4B4E-09FA-4C16-B294-A1D935A576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49BB6EC-5072-4868-B469-F1AB42B4C67F}"/>
  </w:font>
  <w:font w:name="仿宋_GB2312">
    <w:panose1 w:val="02010609030101010101"/>
    <w:charset w:val="86"/>
    <w:family w:val="auto"/>
    <w:pitch w:val="default"/>
    <w:sig w:usb0="00000001" w:usb1="080E0000" w:usb2="00000000" w:usb3="00000000" w:csb0="00040000" w:csb1="00000000"/>
    <w:embedRegular r:id="rId3" w:fontKey="{5DA948A3-1774-4B34-9EC1-C8E8DF1F0803}"/>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C793B0DC-4834-4CF8-8623-1C676747F0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A1F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4AF975">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74AF975">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C2501"/>
    <w:rsid w:val="1F9FDF66"/>
    <w:rsid w:val="26CC2501"/>
    <w:rsid w:val="365D7FC7"/>
    <w:rsid w:val="3CD94760"/>
    <w:rsid w:val="56FA074E"/>
    <w:rsid w:val="76DE8AA2"/>
    <w:rsid w:val="7DBF7A6F"/>
    <w:rsid w:val="B7EFFEAC"/>
    <w:rsid w:val="D7B72322"/>
    <w:rsid w:val="DEEA9E16"/>
    <w:rsid w:val="DF1F615B"/>
    <w:rsid w:val="DF5D2898"/>
    <w:rsid w:val="DFEFBA23"/>
    <w:rsid w:val="F2ED5299"/>
    <w:rsid w:val="F63F30F4"/>
    <w:rsid w:val="F70EB56D"/>
    <w:rsid w:val="FAFF448E"/>
    <w:rsid w:val="FEDF9D96"/>
    <w:rsid w:val="FFF7CA81"/>
    <w:rsid w:val="FFFBEE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2472</Words>
  <Characters>2516</Characters>
  <Lines>0</Lines>
  <Paragraphs>0</Paragraphs>
  <TotalTime>3964.33333333333</TotalTime>
  <ScaleCrop>false</ScaleCrop>
  <LinksUpToDate>false</LinksUpToDate>
  <CharactersWithSpaces>2522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2025-07-08T02:53:00Z</dcterms:created>
  <dc:creator>wenxg</dc:creator>
  <cp:lastModifiedBy>Blue Enchantress</cp:lastModifiedBy>
  <cp:lastPrinted>2025-07-11T18:02:28Z</cp:lastPrinted>
  <dcterms:modified xsi:type="dcterms:W3CDTF">2025-07-23T06:03:17Z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DF77BA500B394D268915862608816BA4_13</vt:lpwstr>
  </property>
</Properties>
</file>